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B4" w:rsidRDefault="002876B4" w:rsidP="005D1180">
      <w:pPr>
        <w:pStyle w:val="Standard"/>
        <w:tabs>
          <w:tab w:val="left" w:pos="3701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  <w:r>
        <w:rPr>
          <w:rFonts w:ascii="Arial" w:hAnsi="Arial" w:cs="Arial"/>
          <w:b/>
          <w:noProof/>
          <w:color w:val="0000FF"/>
          <w:sz w:val="36"/>
          <w:szCs w:val="36"/>
          <w:lang w:eastAsia="fr-FR" w:bidi="ar-SA"/>
        </w:rPr>
        <w:drawing>
          <wp:inline distT="0" distB="0" distL="0" distR="0">
            <wp:extent cx="1612900" cy="1003300"/>
            <wp:effectExtent l="19050" t="0" r="635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180"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C H S C T R E A  d’Ile de</w:t>
      </w:r>
      <w:r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 xml:space="preserve"> </w:t>
      </w:r>
      <w:r w:rsidR="005D1180"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France</w:t>
      </w:r>
    </w:p>
    <w:p w:rsidR="005D1180" w:rsidRDefault="005D1180" w:rsidP="005D1180">
      <w:pPr>
        <w:pStyle w:val="Standard"/>
        <w:tabs>
          <w:tab w:val="left" w:pos="3701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</w:p>
    <w:p w:rsidR="002876B4" w:rsidRDefault="002876B4" w:rsidP="002876B4">
      <w:pPr>
        <w:pStyle w:val="Standard"/>
        <w:tabs>
          <w:tab w:val="left" w:pos="3714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ab/>
        <w:t>Comité d'Hygiène, de Sécurité</w:t>
      </w:r>
    </w:p>
    <w:p w:rsidR="002876B4" w:rsidRDefault="002876B4" w:rsidP="002876B4">
      <w:pPr>
        <w:pStyle w:val="Standard"/>
        <w:tabs>
          <w:tab w:val="left" w:pos="3714"/>
        </w:tabs>
        <w:ind w:left="371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et des Conditions de Travail Régional de l’Enseignement Agricole</w:t>
      </w:r>
    </w:p>
    <w:p w:rsidR="002876B4" w:rsidRDefault="002876B4" w:rsidP="002876B4">
      <w:pPr>
        <w:pStyle w:val="Standard"/>
        <w:tabs>
          <w:tab w:val="left" w:pos="3714"/>
        </w:tabs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2876B4" w:rsidRDefault="005D1180" w:rsidP="002876B4">
      <w:pPr>
        <w:pStyle w:val="Standard"/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  <w:r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CR de la séance plénière</w:t>
      </w:r>
      <w:r w:rsidR="002876B4"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 xml:space="preserve"> du 29 mars 2016</w:t>
      </w:r>
    </w:p>
    <w:p w:rsidR="002876B4" w:rsidRDefault="002876B4" w:rsidP="002876B4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76B4" w:rsidRDefault="002876B4" w:rsidP="002876B4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Une Délégation SNETAP-FSU composée de :</w:t>
      </w:r>
    </w:p>
    <w:p w:rsidR="002876B4" w:rsidRDefault="002876B4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Tony Dos Santos</w:t>
      </w:r>
      <w:r w:rsidR="005D1180">
        <w:rPr>
          <w:rFonts w:ascii="Arial" w:hAnsi="Arial" w:cs="Arial"/>
          <w:color w:val="000000"/>
          <w:sz w:val="22"/>
          <w:szCs w:val="22"/>
        </w:rPr>
        <w:t xml:space="preserve"> - secrétaire du CHSCTREA -</w:t>
      </w:r>
      <w:r w:rsidR="00716FD7">
        <w:rPr>
          <w:rFonts w:ascii="Arial" w:hAnsi="Arial" w:cs="Arial"/>
          <w:color w:val="000000"/>
          <w:sz w:val="22"/>
          <w:szCs w:val="22"/>
        </w:rPr>
        <w:t>, Fathia Lounici</w:t>
      </w:r>
      <w:r>
        <w:rPr>
          <w:rFonts w:ascii="Arial" w:hAnsi="Arial" w:cs="Arial"/>
          <w:color w:val="000000"/>
          <w:sz w:val="22"/>
          <w:szCs w:val="22"/>
        </w:rPr>
        <w:t>, Claire Pinault, Christiane Varon, Christine Cattant</w:t>
      </w:r>
      <w:r w:rsidR="00716FD7">
        <w:rPr>
          <w:rFonts w:ascii="Arial" w:hAnsi="Arial" w:cs="Arial"/>
          <w:color w:val="000000"/>
          <w:sz w:val="22"/>
          <w:szCs w:val="22"/>
        </w:rPr>
        <w:t>, Zinkifili Mfendouop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5060A" w:rsidRDefault="0045060A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45060A" w:rsidRDefault="0045060A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noter qu’aucun représentant FO ou CGT – 1 siège chacun - n’était présent ou excusé.</w:t>
      </w: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1.Synthèse des </w:t>
      </w:r>
      <w:r w:rsidR="005D1180">
        <w:rPr>
          <w:rFonts w:ascii="Arial" w:hAnsi="Arial" w:cs="Arial"/>
          <w:b/>
          <w:bCs/>
          <w:color w:val="0000FF"/>
          <w:sz w:val="22"/>
          <w:szCs w:val="22"/>
        </w:rPr>
        <w:t>PV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des CoHS</w:t>
      </w:r>
    </w:p>
    <w:p w:rsidR="002876B4" w:rsidRPr="006047E9" w:rsidRDefault="002876B4" w:rsidP="006047E9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color w:val="000000"/>
        </w:rPr>
        <w:t>(cf :</w:t>
      </w:r>
      <w:r w:rsidR="006047E9" w:rsidRPr="006047E9">
        <w:rPr>
          <w:rFonts w:ascii="Arial" w:hAnsi="Arial" w:cs="Arial"/>
          <w:sz w:val="20"/>
          <w:szCs w:val="20"/>
        </w:rPr>
        <w:t xml:space="preserve"> </w:t>
      </w:r>
      <w:r w:rsidR="006047E9" w:rsidRPr="006047E9">
        <w:rPr>
          <w:rFonts w:ascii="Arial" w:eastAsia="Times New Roman" w:hAnsi="Arial" w:cs="Arial"/>
          <w:sz w:val="20"/>
          <w:szCs w:val="20"/>
          <w:lang w:eastAsia="fr-FR"/>
        </w:rPr>
        <w:t>NOTE DE SERVICE</w:t>
      </w:r>
      <w:r w:rsidR="006047E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047E9" w:rsidRPr="006047E9">
        <w:rPr>
          <w:rFonts w:ascii="Arial" w:eastAsia="Times New Roman" w:hAnsi="Arial" w:cs="Arial"/>
          <w:sz w:val="20"/>
          <w:szCs w:val="20"/>
          <w:lang w:eastAsia="fr-FR"/>
        </w:rPr>
        <w:t>SG/SRH/SDDPRS/N2009-1128</w:t>
      </w:r>
      <w:r w:rsidR="006047E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047E9" w:rsidRPr="006047E9">
        <w:rPr>
          <w:rFonts w:ascii="Arial" w:eastAsia="Times New Roman" w:hAnsi="Arial" w:cs="Arial"/>
          <w:sz w:val="20"/>
          <w:szCs w:val="20"/>
          <w:lang w:eastAsia="fr-FR"/>
        </w:rPr>
        <w:t>Date</w:t>
      </w:r>
      <w:r w:rsidR="009A54E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047E9" w:rsidRPr="006047E9">
        <w:rPr>
          <w:rFonts w:ascii="Arial" w:eastAsia="Times New Roman" w:hAnsi="Arial" w:cs="Arial"/>
          <w:sz w:val="20"/>
          <w:szCs w:val="20"/>
          <w:lang w:eastAsia="fr-FR"/>
        </w:rPr>
        <w:t>: 26 mai 2009</w:t>
      </w:r>
      <w:r>
        <w:rPr>
          <w:rFonts w:ascii="Arial" w:hAnsi="Arial" w:cs="Arial"/>
          <w:color w:val="000000"/>
        </w:rPr>
        <w:t>)</w:t>
      </w: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la demande</w:t>
      </w:r>
      <w:r w:rsidR="0063123A">
        <w:rPr>
          <w:rFonts w:ascii="Arial" w:hAnsi="Arial" w:cs="Arial"/>
          <w:color w:val="000000"/>
          <w:sz w:val="22"/>
          <w:szCs w:val="22"/>
        </w:rPr>
        <w:t xml:space="preserve"> du SNETAP-FSU, l’autorité académique a rédigé une synthèse du bilan des  CoHS</w:t>
      </w:r>
      <w:r w:rsidR="002D2918">
        <w:rPr>
          <w:rFonts w:ascii="Arial" w:hAnsi="Arial" w:cs="Arial"/>
          <w:color w:val="000000"/>
          <w:sz w:val="22"/>
          <w:szCs w:val="22"/>
        </w:rPr>
        <w:t xml:space="preserve"> des 3 EPL franciliens en 2014-2015</w:t>
      </w:r>
      <w:r w:rsidR="0063123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D5FD9" w:rsidRDefault="002D5FD9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6A2CE2" w:rsidRDefault="002876B4" w:rsidP="006A2CE2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573405" cy="354330"/>
            <wp:effectExtent l="19050" t="0" r="0" b="0"/>
            <wp:wrapSquare wrapText="righ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  <w:r w:rsidR="006A2CE2">
        <w:rPr>
          <w:rFonts w:ascii="Arial" w:hAnsi="Arial" w:cs="Arial"/>
          <w:i/>
          <w:iCs/>
          <w:color w:val="FFFFFF"/>
          <w:sz w:val="22"/>
          <w:szCs w:val="22"/>
        </w:rPr>
        <w:t xml:space="preserve"> </w:t>
      </w:r>
    </w:p>
    <w:p w:rsidR="002D2918" w:rsidRPr="0075788D" w:rsidRDefault="0063123A" w:rsidP="0075788D">
      <w:pPr>
        <w:pStyle w:val="Standard"/>
        <w:shd w:val="clear" w:color="auto" w:fill="83CAFF"/>
        <w:jc w:val="both"/>
        <w:rPr>
          <w:rFonts w:ascii="Arial" w:hAnsi="Arial" w:cs="Arial"/>
          <w:i/>
          <w:iCs/>
          <w:color w:val="FFFFFF" w:themeColor="background1"/>
          <w:sz w:val="22"/>
          <w:szCs w:val="22"/>
        </w:rPr>
      </w:pPr>
      <w:r w:rsidRPr="0075788D">
        <w:rPr>
          <w:rFonts w:ascii="Arial" w:hAnsi="Arial" w:cs="Arial"/>
          <w:i/>
          <w:color w:val="FFFFFF" w:themeColor="background1"/>
          <w:sz w:val="22"/>
          <w:szCs w:val="22"/>
        </w:rPr>
        <w:t>Nous déplorons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 la tenue tardive de </w:t>
      </w:r>
      <w:r w:rsidR="005D1180">
        <w:rPr>
          <w:rFonts w:ascii="Arial" w:hAnsi="Arial" w:cs="Arial"/>
          <w:i/>
          <w:color w:val="FFFFFF" w:themeColor="background1"/>
          <w:sz w:val="22"/>
          <w:szCs w:val="22"/>
        </w:rPr>
        <w:t>la CoHS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 du lycée </w:t>
      </w:r>
      <w:r w:rsidR="00AA2C4E" w:rsidRPr="00AA2C4E">
        <w:rPr>
          <w:rFonts w:ascii="Arial" w:hAnsi="Arial" w:cs="Arial"/>
          <w:color w:val="FFFFFF" w:themeColor="background1"/>
          <w:sz w:val="22"/>
          <w:szCs w:val="22"/>
        </w:rPr>
        <w:t>La</w:t>
      </w:r>
      <w:r w:rsidRPr="00AA2C4E">
        <w:rPr>
          <w:rFonts w:ascii="Arial" w:hAnsi="Arial" w:cs="Arial"/>
          <w:color w:val="FFFFFF" w:themeColor="background1"/>
          <w:sz w:val="22"/>
          <w:szCs w:val="22"/>
        </w:rPr>
        <w:t xml:space="preserve"> Bretonnière</w:t>
      </w:r>
      <w:r w:rsidR="002D2918"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cette année scolaire</w:t>
      </w:r>
      <w:r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 w:rsidR="002D2918"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- </w:t>
      </w:r>
      <w:r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hors </w:t>
      </w:r>
      <w:r w:rsidR="002D2918" w:rsidRPr="0075788D">
        <w:rPr>
          <w:rFonts w:ascii="Arial" w:hAnsi="Arial" w:cs="Arial"/>
          <w:i/>
          <w:color w:val="FFFFFF" w:themeColor="background1"/>
          <w:sz w:val="22"/>
          <w:szCs w:val="22"/>
        </w:rPr>
        <w:t>règlementation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>,</w:t>
      </w:r>
      <w:r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puisque non réunie au pre</w:t>
      </w:r>
      <w:r w:rsidR="00864FB2">
        <w:rPr>
          <w:rFonts w:ascii="Arial" w:hAnsi="Arial" w:cs="Arial"/>
          <w:i/>
          <w:color w:val="FFFFFF" w:themeColor="background1"/>
          <w:sz w:val="22"/>
          <w:szCs w:val="22"/>
        </w:rPr>
        <w:t>mier trimestre. Celle de Saint G</w:t>
      </w:r>
      <w:r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ermain est divisée en deux (une partie avec les </w:t>
      </w:r>
      <w:r w:rsidR="002D2918" w:rsidRPr="0075788D">
        <w:rPr>
          <w:rFonts w:ascii="Arial" w:hAnsi="Arial" w:cs="Arial"/>
          <w:i/>
          <w:color w:val="FFFFFF" w:themeColor="background1"/>
          <w:sz w:val="22"/>
          <w:szCs w:val="22"/>
        </w:rPr>
        <w:t>délégués</w:t>
      </w:r>
      <w:r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app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>renants et parents et une sans)</w:t>
      </w:r>
      <w:r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.  </w:t>
      </w:r>
      <w:r w:rsidR="002D2918" w:rsidRPr="0075788D">
        <w:rPr>
          <w:rFonts w:ascii="Arial" w:hAnsi="Arial" w:cs="Arial"/>
          <w:i/>
          <w:color w:val="FFFFFF" w:themeColor="background1"/>
          <w:sz w:val="22"/>
          <w:szCs w:val="22"/>
        </w:rPr>
        <w:t>Des assistants de prévention ne sont pas  -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 w:rsidR="002D2918" w:rsidRPr="0075788D">
        <w:rPr>
          <w:rFonts w:ascii="Arial" w:hAnsi="Arial" w:cs="Arial"/>
          <w:i/>
          <w:color w:val="FFFFFF" w:themeColor="background1"/>
          <w:sz w:val="22"/>
          <w:szCs w:val="22"/>
        </w:rPr>
        <w:t>clairement</w:t>
      </w:r>
      <w:r w:rsidR="005D1180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 w:rsidR="00864FB2">
        <w:rPr>
          <w:rFonts w:ascii="Arial" w:hAnsi="Arial" w:cs="Arial"/>
          <w:i/>
          <w:color w:val="FFFFFF" w:themeColor="background1"/>
          <w:sz w:val="22"/>
          <w:szCs w:val="22"/>
        </w:rPr>
        <w:t>–</w:t>
      </w:r>
      <w:r w:rsidR="002D2918"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 w:rsidR="00864FB2">
        <w:rPr>
          <w:rFonts w:ascii="Arial" w:hAnsi="Arial" w:cs="Arial"/>
          <w:i/>
          <w:color w:val="FFFFFF" w:themeColor="background1"/>
          <w:sz w:val="22"/>
          <w:szCs w:val="22"/>
        </w:rPr>
        <w:t xml:space="preserve">dans les trois EPL. </w:t>
      </w:r>
      <w:r w:rsidR="006A2CE2" w:rsidRPr="0075788D">
        <w:rPr>
          <w:rFonts w:ascii="Arial" w:hAnsi="Arial" w:cs="Arial"/>
          <w:i/>
          <w:color w:val="FFFFFF" w:themeColor="background1"/>
          <w:sz w:val="22"/>
          <w:szCs w:val="22"/>
        </w:rPr>
        <w:t>Des visites d’établissement doivent être réalisées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 (obligation </w:t>
      </w:r>
      <w:r w:rsidR="005D1180">
        <w:rPr>
          <w:rFonts w:ascii="Arial" w:hAnsi="Arial" w:cs="Arial"/>
          <w:i/>
          <w:color w:val="FFFFFF" w:themeColor="background1"/>
          <w:sz w:val="22"/>
          <w:szCs w:val="22"/>
        </w:rPr>
        <w:t>réglementaire</w:t>
      </w:r>
      <w:r w:rsidR="00864FB2">
        <w:rPr>
          <w:rFonts w:ascii="Arial" w:hAnsi="Arial" w:cs="Arial"/>
          <w:i/>
          <w:color w:val="FFFFFF" w:themeColor="background1"/>
          <w:sz w:val="22"/>
          <w:szCs w:val="22"/>
        </w:rPr>
        <w:t>, voir note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>)</w:t>
      </w:r>
      <w:r w:rsidR="006A2CE2" w:rsidRP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. Les registres  Santé  Sécurité au Travail (SST) 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ne sont pas </w:t>
      </w:r>
      <w:r w:rsidR="006A2CE2" w:rsidRPr="0075788D">
        <w:rPr>
          <w:rFonts w:ascii="Arial" w:hAnsi="Arial" w:cs="Arial"/>
          <w:i/>
          <w:color w:val="FFFFFF" w:themeColor="background1"/>
          <w:sz w:val="22"/>
          <w:szCs w:val="22"/>
        </w:rPr>
        <w:t>facilement accessibles par les personnels.</w:t>
      </w:r>
      <w:r w:rsid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>Les agents ne peuvent pas encore saisir l</w:t>
      </w:r>
      <w:r w:rsidR="0075788D">
        <w:rPr>
          <w:rFonts w:ascii="Arial" w:hAnsi="Arial" w:cs="Arial"/>
          <w:i/>
          <w:color w:val="FFFFFF" w:themeColor="background1"/>
          <w:sz w:val="22"/>
          <w:szCs w:val="22"/>
        </w:rPr>
        <w:t>a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 médecine de travail</w:t>
      </w:r>
      <w:r w:rsidR="005D1180">
        <w:rPr>
          <w:rFonts w:ascii="Arial" w:hAnsi="Arial" w:cs="Arial"/>
          <w:i/>
          <w:color w:val="FFFFFF" w:themeColor="background1"/>
          <w:sz w:val="22"/>
          <w:szCs w:val="22"/>
        </w:rPr>
        <w:t>,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 même si des différences existent entre le</w:t>
      </w:r>
      <w:r w:rsidR="005D1180">
        <w:rPr>
          <w:rFonts w:ascii="Arial" w:hAnsi="Arial" w:cs="Arial"/>
          <w:i/>
          <w:color w:val="FFFFFF" w:themeColor="background1"/>
          <w:sz w:val="22"/>
          <w:szCs w:val="22"/>
        </w:rPr>
        <w:t>s départements du 77 et du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 78.</w:t>
      </w:r>
      <w:r w:rsid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Il faut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>,</w:t>
      </w:r>
      <w:r w:rsid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 xml:space="preserve">enfin, </w:t>
      </w:r>
      <w:r w:rsidR="0075788D">
        <w:rPr>
          <w:rFonts w:ascii="Arial" w:hAnsi="Arial" w:cs="Arial"/>
          <w:i/>
          <w:color w:val="FFFFFF" w:themeColor="background1"/>
          <w:sz w:val="22"/>
          <w:szCs w:val="22"/>
        </w:rPr>
        <w:t xml:space="preserve">remobiliser les personnels de direction </w:t>
      </w:r>
      <w:r w:rsidR="005D1180">
        <w:rPr>
          <w:rFonts w:ascii="Arial" w:hAnsi="Arial" w:cs="Arial"/>
          <w:i/>
          <w:color w:val="FFFFFF" w:themeColor="background1"/>
          <w:sz w:val="22"/>
          <w:szCs w:val="22"/>
        </w:rPr>
        <w:t xml:space="preserve">des EPL </w:t>
      </w:r>
      <w:r w:rsidR="0075788D">
        <w:rPr>
          <w:rFonts w:ascii="Arial" w:hAnsi="Arial" w:cs="Arial"/>
          <w:i/>
          <w:color w:val="FFFFFF" w:themeColor="background1"/>
          <w:sz w:val="22"/>
          <w:szCs w:val="22"/>
        </w:rPr>
        <w:t>en matière hygiène, sécurité et conditions de travail</w:t>
      </w:r>
      <w:r w:rsidR="00864FB2">
        <w:rPr>
          <w:rFonts w:ascii="Arial" w:hAnsi="Arial" w:cs="Arial"/>
          <w:i/>
          <w:color w:val="FFFFFF" w:themeColor="background1"/>
          <w:sz w:val="22"/>
          <w:szCs w:val="22"/>
        </w:rPr>
        <w:t xml:space="preserve"> (réflexion sur le registre SST par exemple)</w:t>
      </w:r>
      <w:r w:rsidR="00AA2C4E">
        <w:rPr>
          <w:rFonts w:ascii="Arial" w:hAnsi="Arial" w:cs="Arial"/>
          <w:i/>
          <w:color w:val="FFFFFF" w:themeColor="background1"/>
          <w:sz w:val="22"/>
          <w:szCs w:val="22"/>
        </w:rPr>
        <w:t>.</w:t>
      </w: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2.</w:t>
      </w:r>
      <w:r w:rsidR="00AA2C4E">
        <w:rPr>
          <w:rFonts w:ascii="Arial" w:hAnsi="Arial" w:cs="Arial"/>
          <w:b/>
          <w:color w:val="0033CC"/>
          <w:sz w:val="22"/>
          <w:szCs w:val="22"/>
        </w:rPr>
        <w:t>Prévention des risques</w:t>
      </w:r>
      <w:r w:rsidR="006047E9">
        <w:rPr>
          <w:rFonts w:ascii="Arial" w:hAnsi="Arial" w:cs="Arial"/>
          <w:b/>
          <w:color w:val="0033CC"/>
          <w:sz w:val="22"/>
          <w:szCs w:val="22"/>
        </w:rPr>
        <w:t xml:space="preserve"> liés à la sécurité des apprenants lors des transports</w:t>
      </w:r>
    </w:p>
    <w:p w:rsidR="002876B4" w:rsidRDefault="002876B4" w:rsidP="00287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(cf :</w:t>
      </w:r>
      <w:r w:rsidR="006047E9">
        <w:rPr>
          <w:rFonts w:ascii="Arial" w:hAnsi="Arial" w:cs="Arial"/>
          <w:bCs/>
        </w:rPr>
        <w:t xml:space="preserve"> Art. R.412-1 et 2 du code de la route / L. 4121-1 du code du travail</w:t>
      </w:r>
      <w:r>
        <w:rPr>
          <w:rFonts w:ascii="Arial" w:hAnsi="Arial" w:cs="Arial"/>
          <w:bCs/>
        </w:rPr>
        <w:t>)</w:t>
      </w: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6047E9" w:rsidRDefault="00760259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Dans un contexte de faits divers impliquant un accident de bus scolaire, </w:t>
      </w:r>
      <w:r w:rsidR="005D1180">
        <w:rPr>
          <w:rFonts w:ascii="Arial" w:hAnsi="Arial" w:cs="Arial"/>
          <w:color w:val="000000"/>
          <w:sz w:val="22"/>
          <w:szCs w:val="22"/>
        </w:rPr>
        <w:t xml:space="preserve">Pierre Clavel, inspecteur 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SST, rappelle la responsabilité des </w:t>
      </w:r>
      <w:r w:rsidR="005D1180">
        <w:rPr>
          <w:rFonts w:ascii="Arial" w:hAnsi="Arial" w:cs="Arial"/>
          <w:color w:val="000000"/>
          <w:sz w:val="22"/>
          <w:szCs w:val="22"/>
        </w:rPr>
        <w:t>encadrants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 - parfois égal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6047E9">
        <w:rPr>
          <w:rFonts w:ascii="Arial" w:hAnsi="Arial" w:cs="Arial"/>
          <w:color w:val="000000"/>
          <w:sz w:val="22"/>
          <w:szCs w:val="22"/>
        </w:rPr>
        <w:t>ment chauffeur</w:t>
      </w:r>
      <w:r w:rsidR="005D1180">
        <w:rPr>
          <w:rFonts w:ascii="Arial" w:hAnsi="Arial" w:cs="Arial"/>
          <w:color w:val="000000"/>
          <w:sz w:val="22"/>
          <w:szCs w:val="22"/>
        </w:rPr>
        <w:t>s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 –</w:t>
      </w:r>
      <w:r w:rsidR="005D1180">
        <w:rPr>
          <w:rFonts w:ascii="Arial" w:hAnsi="Arial" w:cs="Arial"/>
          <w:color w:val="000000"/>
          <w:sz w:val="22"/>
          <w:szCs w:val="22"/>
        </w:rPr>
        <w:t xml:space="preserve"> : ils assurent 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la sécurité des apprenants lors des transports. Ils doivent veiller au port de la ceinture – même dans les véhicules d’EPL </w:t>
      </w:r>
      <w:r w:rsidR="005D1180">
        <w:rPr>
          <w:rFonts w:ascii="Arial" w:hAnsi="Arial" w:cs="Arial"/>
          <w:color w:val="000000"/>
          <w:sz w:val="22"/>
          <w:szCs w:val="22"/>
        </w:rPr>
        <w:t xml:space="preserve">dits </w:t>
      </w:r>
      <w:r w:rsidR="006047E9" w:rsidRPr="005D1180">
        <w:rPr>
          <w:rFonts w:ascii="Arial" w:hAnsi="Arial" w:cs="Arial"/>
          <w:i/>
          <w:color w:val="000000"/>
          <w:sz w:val="22"/>
          <w:szCs w:val="22"/>
        </w:rPr>
        <w:t>9 places</w:t>
      </w:r>
      <w:r w:rsidR="006047E9">
        <w:rPr>
          <w:rFonts w:ascii="Arial" w:hAnsi="Arial" w:cs="Arial"/>
          <w:color w:val="000000"/>
          <w:sz w:val="22"/>
          <w:szCs w:val="22"/>
        </w:rPr>
        <w:t>.</w:t>
      </w:r>
    </w:p>
    <w:p w:rsidR="002876B4" w:rsidRDefault="00760259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représentant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 des directeurs d’établissement, Thierry Girodot</w:t>
      </w:r>
      <w:r w:rsidR="005D1180">
        <w:rPr>
          <w:rFonts w:ascii="Arial" w:hAnsi="Arial" w:cs="Arial"/>
          <w:color w:val="000000"/>
          <w:sz w:val="22"/>
          <w:szCs w:val="22"/>
        </w:rPr>
        <w:t>,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 évoque une circulaire de 2012, qui précise que les personnels ne peuvent utiliser les véhicules dit</w:t>
      </w:r>
      <w:r w:rsidR="005D1180">
        <w:rPr>
          <w:rFonts w:ascii="Arial" w:hAnsi="Arial" w:cs="Arial"/>
          <w:color w:val="000000"/>
          <w:sz w:val="22"/>
          <w:szCs w:val="22"/>
        </w:rPr>
        <w:t>s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 </w:t>
      </w:r>
      <w:r w:rsidR="006047E9" w:rsidRPr="005D1180">
        <w:rPr>
          <w:rFonts w:ascii="Arial" w:hAnsi="Arial" w:cs="Arial"/>
          <w:i/>
          <w:color w:val="000000"/>
          <w:sz w:val="22"/>
          <w:szCs w:val="22"/>
        </w:rPr>
        <w:t>de service</w:t>
      </w:r>
      <w:r w:rsidR="00864FB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64FB2" w:rsidRPr="00864FB2">
        <w:rPr>
          <w:rFonts w:ascii="Arial" w:hAnsi="Arial" w:cs="Arial"/>
          <w:color w:val="000000"/>
          <w:sz w:val="22"/>
          <w:szCs w:val="22"/>
        </w:rPr>
        <w:t>avec des apprenants</w:t>
      </w:r>
      <w:r w:rsidR="006047E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64FB2" w:rsidRDefault="00864FB2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864FB2" w:rsidRDefault="00864FB2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170815</wp:posOffset>
            </wp:positionV>
            <wp:extent cx="568325" cy="356235"/>
            <wp:effectExtent l="19050" t="0" r="3175" b="0"/>
            <wp:wrapSquare wrapText="right"/>
            <wp:docPr id="4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6B4" w:rsidRDefault="002876B4" w:rsidP="002876B4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2876B4" w:rsidRDefault="00760259" w:rsidP="00760259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Comment s’organise la gestion de crise en cas d’accident de car scolaire ? Les </w:t>
      </w:r>
      <w:r w:rsidR="005D1180">
        <w:rPr>
          <w:rFonts w:ascii="Arial" w:hAnsi="Arial" w:cs="Arial"/>
          <w:i/>
          <w:iCs/>
          <w:color w:val="FFFFFF"/>
          <w:sz w:val="22"/>
          <w:szCs w:val="22"/>
        </w:rPr>
        <w:t>véhicules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</w:t>
      </w:r>
      <w:r w:rsidRPr="005D1180">
        <w:rPr>
          <w:rFonts w:ascii="Arial" w:hAnsi="Arial" w:cs="Arial"/>
          <w:iCs/>
          <w:color w:val="FFFFFF"/>
          <w:sz w:val="22"/>
          <w:szCs w:val="22"/>
        </w:rPr>
        <w:t>9 places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sont en outre de plus en plus utilisés dans un contexte de Vigipirate. Une formation</w:t>
      </w:r>
      <w:r w:rsidR="00864FB2">
        <w:rPr>
          <w:rFonts w:ascii="Arial" w:hAnsi="Arial" w:cs="Arial"/>
          <w:i/>
          <w:iCs/>
          <w:color w:val="FFFFFF"/>
          <w:sz w:val="22"/>
          <w:szCs w:val="22"/>
        </w:rPr>
        <w:t xml:space="preserve"> (ou information)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des personnels à ce sujet est demandé</w:t>
      </w:r>
      <w:r w:rsidR="00864FB2">
        <w:rPr>
          <w:rFonts w:ascii="Arial" w:hAnsi="Arial" w:cs="Arial"/>
          <w:i/>
          <w:iCs/>
          <w:color w:val="FFFFFF"/>
          <w:sz w:val="22"/>
          <w:szCs w:val="22"/>
        </w:rPr>
        <w:t>e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par le SNETAP-FSU. </w:t>
      </w:r>
      <w:r w:rsidR="005D1180">
        <w:rPr>
          <w:rFonts w:ascii="Arial" w:hAnsi="Arial" w:cs="Arial"/>
          <w:i/>
          <w:iCs/>
          <w:color w:val="FFFFFF"/>
          <w:sz w:val="22"/>
          <w:szCs w:val="22"/>
        </w:rPr>
        <w:t>A noter que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les ordres de mission doivent être automatiquement exigé</w:t>
      </w:r>
      <w:r w:rsidR="00864FB2">
        <w:rPr>
          <w:rFonts w:ascii="Arial" w:hAnsi="Arial" w:cs="Arial"/>
          <w:i/>
          <w:iCs/>
          <w:color w:val="FFFFFF"/>
          <w:sz w:val="22"/>
          <w:szCs w:val="22"/>
        </w:rPr>
        <w:t>s</w:t>
      </w:r>
      <w:r w:rsidR="005D1180">
        <w:rPr>
          <w:rFonts w:ascii="Arial" w:hAnsi="Arial" w:cs="Arial"/>
          <w:i/>
          <w:iCs/>
          <w:color w:val="FFFFFF"/>
          <w:sz w:val="22"/>
          <w:szCs w:val="22"/>
        </w:rPr>
        <w:t>, ce qui n’est pas toujours le cas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. Les stagiaires CFPPA ne peuvent utiliser ce type de véhicule. </w:t>
      </w: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 xml:space="preserve">3. </w:t>
      </w:r>
      <w:r w:rsidR="002D5FD9">
        <w:rPr>
          <w:rFonts w:ascii="Arial" w:hAnsi="Arial" w:cs="Arial"/>
          <w:b/>
          <w:color w:val="0033CC"/>
          <w:sz w:val="22"/>
          <w:szCs w:val="22"/>
        </w:rPr>
        <w:t>Enquête</w:t>
      </w:r>
      <w:r w:rsidR="00760259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2D5FD9">
        <w:rPr>
          <w:rFonts w:ascii="Arial" w:hAnsi="Arial" w:cs="Arial"/>
          <w:b/>
          <w:color w:val="0033CC"/>
          <w:sz w:val="22"/>
          <w:szCs w:val="22"/>
        </w:rPr>
        <w:t>« </w:t>
      </w:r>
      <w:r w:rsidR="00760259">
        <w:rPr>
          <w:rFonts w:ascii="Arial" w:hAnsi="Arial" w:cs="Arial"/>
          <w:b/>
          <w:color w:val="0033CC"/>
          <w:sz w:val="22"/>
          <w:szCs w:val="22"/>
        </w:rPr>
        <w:t>Climat Scolaire</w:t>
      </w:r>
      <w:r w:rsidR="002D5FD9">
        <w:rPr>
          <w:rFonts w:ascii="Arial" w:hAnsi="Arial" w:cs="Arial"/>
          <w:b/>
          <w:color w:val="0033CC"/>
          <w:sz w:val="22"/>
          <w:szCs w:val="22"/>
        </w:rPr>
        <w:t> »</w:t>
      </w:r>
    </w:p>
    <w:p w:rsidR="002D5FD9" w:rsidRPr="002D5FD9" w:rsidRDefault="002D5FD9" w:rsidP="002D5FD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2D5FD9">
        <w:rPr>
          <w:rFonts w:ascii="Arial" w:hAnsi="Arial" w:cs="Arial"/>
        </w:rPr>
        <w:t xml:space="preserve">(cf : </w:t>
      </w:r>
      <w:r w:rsidRPr="002D5FD9">
        <w:rPr>
          <w:rFonts w:ascii="LiberationSerif-Bold" w:hAnsi="LiberationSerif-Bold" w:cs="LiberationSerif-Bold"/>
          <w:bCs/>
          <w:sz w:val="24"/>
          <w:szCs w:val="24"/>
        </w:rPr>
        <w:t>Note de service DGER/SDEDC/2014-550 du 09/07/2014</w:t>
      </w:r>
      <w:r w:rsidR="00841014">
        <w:rPr>
          <w:rFonts w:ascii="LiberationSerif-Bold" w:hAnsi="LiberationSerif-Bold" w:cs="LiberationSerif-Bold"/>
          <w:bCs/>
          <w:sz w:val="24"/>
          <w:szCs w:val="24"/>
        </w:rPr>
        <w:t xml:space="preserve"> et rapport de 2015 du professeur, Eric Debardieux)</w:t>
      </w:r>
    </w:p>
    <w:p w:rsidR="00760259" w:rsidRDefault="00760259" w:rsidP="002876B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760259" w:rsidRDefault="00472C07" w:rsidP="00472C0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de 60</w:t>
      </w:r>
      <w:r w:rsidRPr="00472C07">
        <w:rPr>
          <w:rFonts w:ascii="Arial" w:hAnsi="Arial" w:cs="Arial"/>
          <w:sz w:val="22"/>
          <w:szCs w:val="22"/>
        </w:rPr>
        <w:t xml:space="preserve"> établissements agricoles ont répondu à une enquête sur le climat scolaire lancée par l’Observatoire Européen de la Violence à l’Ecole (OEVE). Paquita Gasquez</w:t>
      </w:r>
      <w:r>
        <w:rPr>
          <w:rFonts w:ascii="Arial" w:hAnsi="Arial" w:cs="Arial"/>
          <w:sz w:val="22"/>
          <w:szCs w:val="22"/>
        </w:rPr>
        <w:t xml:space="preserve"> (SRFD)</w:t>
      </w:r>
      <w:r w:rsidR="005D1180">
        <w:rPr>
          <w:rFonts w:ascii="Arial" w:hAnsi="Arial" w:cs="Arial"/>
          <w:sz w:val="22"/>
          <w:szCs w:val="22"/>
        </w:rPr>
        <w:t xml:space="preserve"> dresse</w:t>
      </w:r>
      <w:r w:rsidRPr="00472C07">
        <w:rPr>
          <w:rFonts w:ascii="Arial" w:hAnsi="Arial" w:cs="Arial"/>
          <w:sz w:val="22"/>
          <w:szCs w:val="22"/>
        </w:rPr>
        <w:t xml:space="preserve"> une synthèse de cette statistique</w:t>
      </w:r>
      <w:r w:rsidR="00A06137">
        <w:rPr>
          <w:rFonts w:ascii="Arial" w:hAnsi="Arial" w:cs="Arial"/>
          <w:sz w:val="22"/>
          <w:szCs w:val="22"/>
        </w:rPr>
        <w:t xml:space="preserve"> à partir des </w:t>
      </w:r>
      <w:r w:rsidR="005D1180">
        <w:rPr>
          <w:rFonts w:ascii="Arial" w:hAnsi="Arial" w:cs="Arial"/>
          <w:sz w:val="22"/>
          <w:szCs w:val="22"/>
        </w:rPr>
        <w:t>résultats</w:t>
      </w:r>
      <w:r w:rsidR="00A06137">
        <w:rPr>
          <w:rFonts w:ascii="Arial" w:hAnsi="Arial" w:cs="Arial"/>
          <w:sz w:val="22"/>
          <w:szCs w:val="22"/>
        </w:rPr>
        <w:t xml:space="preserve"> effectués </w:t>
      </w:r>
      <w:r w:rsidR="005D1180">
        <w:rPr>
          <w:rFonts w:ascii="Arial" w:hAnsi="Arial" w:cs="Arial"/>
          <w:sz w:val="22"/>
          <w:szCs w:val="22"/>
        </w:rPr>
        <w:t xml:space="preserve">à </w:t>
      </w:r>
      <w:r w:rsidR="00A06137">
        <w:rPr>
          <w:rFonts w:ascii="Arial" w:hAnsi="Arial" w:cs="Arial"/>
          <w:sz w:val="22"/>
          <w:szCs w:val="22"/>
        </w:rPr>
        <w:t>Saint-Germain</w:t>
      </w:r>
      <w:r w:rsidR="005D1180">
        <w:rPr>
          <w:rFonts w:ascii="Arial" w:hAnsi="Arial" w:cs="Arial"/>
          <w:sz w:val="22"/>
          <w:szCs w:val="22"/>
        </w:rPr>
        <w:t xml:space="preserve"> et à Brie</w:t>
      </w:r>
      <w:r w:rsidRPr="00472C07">
        <w:rPr>
          <w:rFonts w:ascii="Arial" w:hAnsi="Arial" w:cs="Arial"/>
          <w:sz w:val="22"/>
          <w:szCs w:val="22"/>
        </w:rPr>
        <w:t>. En somme</w:t>
      </w:r>
      <w:r w:rsidR="00A06137">
        <w:rPr>
          <w:rFonts w:ascii="Arial" w:hAnsi="Arial" w:cs="Arial"/>
          <w:sz w:val="22"/>
          <w:szCs w:val="22"/>
        </w:rPr>
        <w:t>,</w:t>
      </w:r>
      <w:r w:rsidRPr="00472C07">
        <w:rPr>
          <w:rFonts w:ascii="Arial" w:hAnsi="Arial" w:cs="Arial"/>
          <w:sz w:val="22"/>
          <w:szCs w:val="22"/>
        </w:rPr>
        <w:t xml:space="preserve"> dans ces deux EPL, le sentiment de bien-être et sécuritaire</w:t>
      </w:r>
      <w:r w:rsidR="005D1180">
        <w:rPr>
          <w:rFonts w:ascii="Arial" w:hAnsi="Arial" w:cs="Arial"/>
          <w:sz w:val="22"/>
          <w:szCs w:val="22"/>
        </w:rPr>
        <w:t>,</w:t>
      </w:r>
      <w:r w:rsidR="00864FB2">
        <w:rPr>
          <w:rFonts w:ascii="Arial" w:hAnsi="Arial" w:cs="Arial"/>
          <w:sz w:val="22"/>
          <w:szCs w:val="22"/>
        </w:rPr>
        <w:t xml:space="preserve"> est supérieur</w:t>
      </w:r>
      <w:r w:rsidRPr="00472C07">
        <w:rPr>
          <w:rFonts w:ascii="Arial" w:hAnsi="Arial" w:cs="Arial"/>
          <w:sz w:val="22"/>
          <w:szCs w:val="22"/>
        </w:rPr>
        <w:t xml:space="preserve"> à la moyenne. </w:t>
      </w:r>
      <w:r w:rsidR="00A06137">
        <w:rPr>
          <w:rFonts w:ascii="Arial" w:hAnsi="Arial" w:cs="Arial"/>
          <w:sz w:val="22"/>
          <w:szCs w:val="22"/>
        </w:rPr>
        <w:t xml:space="preserve">Mais il y a des points à améliorer. </w:t>
      </w:r>
    </w:p>
    <w:p w:rsidR="00A06137" w:rsidRDefault="00A06137" w:rsidP="00A061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préconisations sont les suivantes </w:t>
      </w:r>
      <w:r w:rsidRPr="00A06137">
        <w:rPr>
          <w:rFonts w:ascii="Arial" w:hAnsi="Arial" w:cs="Arial"/>
        </w:rPr>
        <w:t>: Renforcer la formation des délégués, organiser une formation pour les assistants d’éducation, prendre en compte le problème des vols à l’internat, mener une réflexion, chez les enseignants, quant aux punitions, au sens des cours et aux encouragements par rapport au travail des élèves.</w:t>
      </w:r>
    </w:p>
    <w:p w:rsidR="00A06137" w:rsidRDefault="00A06137" w:rsidP="00A06137">
      <w:pPr>
        <w:spacing w:after="0" w:line="240" w:lineRule="auto"/>
        <w:jc w:val="both"/>
        <w:rPr>
          <w:rFonts w:ascii="Arial" w:hAnsi="Arial" w:cs="Arial"/>
        </w:rPr>
      </w:pPr>
    </w:p>
    <w:p w:rsidR="00A06137" w:rsidRDefault="00A06137" w:rsidP="00A0613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06137" w:rsidRDefault="00A06137" w:rsidP="00A0613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570865" cy="354330"/>
            <wp:effectExtent l="19050" t="0" r="635" b="0"/>
            <wp:wrapSquare wrapText="right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A06137" w:rsidRDefault="00A06137" w:rsidP="00A06137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Il est regrettable que nous n’</w:t>
      </w:r>
      <w:r w:rsidR="00CA22A6">
        <w:rPr>
          <w:rFonts w:ascii="Arial" w:hAnsi="Arial" w:cs="Arial"/>
          <w:i/>
          <w:iCs/>
          <w:color w:val="FFFFFF"/>
          <w:sz w:val="22"/>
          <w:szCs w:val="22"/>
        </w:rPr>
        <w:t>ayons pas de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résultats significatifs au lycée </w:t>
      </w:r>
      <w:r w:rsidRPr="005D1180">
        <w:rPr>
          <w:rFonts w:ascii="Arial" w:hAnsi="Arial" w:cs="Arial"/>
          <w:iCs/>
          <w:color w:val="FFFFFF"/>
          <w:sz w:val="22"/>
          <w:szCs w:val="22"/>
        </w:rPr>
        <w:t>la Bretonnière</w:t>
      </w:r>
      <w:r w:rsidR="00CA22A6">
        <w:rPr>
          <w:rFonts w:ascii="Arial" w:hAnsi="Arial" w:cs="Arial"/>
          <w:iCs/>
          <w:color w:val="FFFFFF"/>
          <w:sz w:val="22"/>
          <w:szCs w:val="22"/>
        </w:rPr>
        <w:t>, suffisants pour en dresser un bilan</w:t>
      </w:r>
      <w:r w:rsidR="00864FB2">
        <w:rPr>
          <w:rFonts w:ascii="Arial" w:hAnsi="Arial" w:cs="Arial"/>
          <w:i/>
          <w:iCs/>
          <w:color w:val="FFFFFF"/>
          <w:sz w:val="22"/>
          <w:szCs w:val="22"/>
        </w:rPr>
        <w:t>. Un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questionnaire sur les addictions serait également le bienvenu. Enfin, il est nécessaire de communiquer davantage sur les résultats </w:t>
      </w:r>
      <w:r w:rsidR="00CA22A6">
        <w:rPr>
          <w:rFonts w:ascii="Arial" w:hAnsi="Arial" w:cs="Arial"/>
          <w:i/>
          <w:iCs/>
          <w:color w:val="FFFFFF"/>
          <w:sz w:val="22"/>
          <w:szCs w:val="22"/>
        </w:rPr>
        <w:t>dans les EPL.</w:t>
      </w:r>
    </w:p>
    <w:p w:rsidR="00760259" w:rsidRDefault="00760259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60259" w:rsidRDefault="002876B4" w:rsidP="00760259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 xml:space="preserve">4. </w:t>
      </w:r>
      <w:r w:rsidR="00760259">
        <w:rPr>
          <w:rFonts w:ascii="Arial" w:hAnsi="Arial" w:cs="Arial"/>
          <w:b/>
          <w:color w:val="0033CC"/>
          <w:sz w:val="22"/>
          <w:szCs w:val="22"/>
        </w:rPr>
        <w:t>Cellule de Veille et d’alerte</w:t>
      </w:r>
    </w:p>
    <w:p w:rsidR="002D5FD9" w:rsidRPr="002D5FD9" w:rsidRDefault="002D5FD9" w:rsidP="002D5F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(Cf : </w:t>
      </w:r>
      <w:r w:rsidRPr="002D5FD9">
        <w:rPr>
          <w:rFonts w:ascii="Arial" w:eastAsia="Times New Roman" w:hAnsi="Arial" w:cs="Arial"/>
          <w:sz w:val="20"/>
          <w:szCs w:val="20"/>
          <w:lang w:eastAsia="fr-FR"/>
        </w:rPr>
        <w:t xml:space="preserve">NOTE DE SERVICE SG/SRH/SDDPRS/N2008-1233 </w:t>
      </w:r>
      <w:r>
        <w:rPr>
          <w:rFonts w:ascii="Arial" w:eastAsia="Times New Roman" w:hAnsi="Arial" w:cs="Arial"/>
          <w:sz w:val="20"/>
          <w:szCs w:val="20"/>
          <w:lang w:eastAsia="fr-FR"/>
        </w:rPr>
        <w:t>Date: 15 octobre 2008 / fiche 24)</w:t>
      </w:r>
    </w:p>
    <w:p w:rsidR="002D5FD9" w:rsidRDefault="002D5FD9" w:rsidP="00760259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A06137" w:rsidRDefault="00A06137" w:rsidP="00760259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A06137" w:rsidRDefault="00A06137" w:rsidP="00A0613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Comme mandaté par le CHSCTREA du mois de décembre 2015, un groupe de travail s’est réuni en janvier </w:t>
      </w:r>
      <w:r w:rsidR="00CA22A6">
        <w:rPr>
          <w:rFonts w:ascii="Arial" w:hAnsi="Arial" w:cs="Arial"/>
          <w:color w:val="000000"/>
          <w:sz w:val="22"/>
          <w:szCs w:val="22"/>
        </w:rPr>
        <w:t xml:space="preserve">2016 </w:t>
      </w:r>
      <w:r>
        <w:rPr>
          <w:rFonts w:ascii="Arial" w:hAnsi="Arial" w:cs="Arial"/>
          <w:color w:val="000000"/>
          <w:sz w:val="22"/>
          <w:szCs w:val="22"/>
        </w:rPr>
        <w:t xml:space="preserve">afin de revoir le fonctionnement de cette cellule. Le SNETAP-FSU était la </w:t>
      </w:r>
      <w:r w:rsidR="00CA22A6">
        <w:rPr>
          <w:rFonts w:ascii="Arial" w:hAnsi="Arial" w:cs="Arial"/>
          <w:color w:val="000000"/>
          <w:sz w:val="22"/>
          <w:szCs w:val="22"/>
        </w:rPr>
        <w:t>seule</w:t>
      </w:r>
      <w:r>
        <w:rPr>
          <w:rFonts w:ascii="Arial" w:hAnsi="Arial" w:cs="Arial"/>
          <w:color w:val="000000"/>
          <w:sz w:val="22"/>
          <w:szCs w:val="22"/>
        </w:rPr>
        <w:t xml:space="preserve"> organisation syndicale présente avec la chargée du dossier au SRFD, Paquita Gasquez</w:t>
      </w:r>
      <w:r w:rsidR="00CA22A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et Pierre Clavel</w:t>
      </w:r>
      <w:r w:rsidR="00864FB2">
        <w:rPr>
          <w:rFonts w:ascii="Arial" w:hAnsi="Arial" w:cs="Arial"/>
          <w:color w:val="000000"/>
          <w:sz w:val="22"/>
          <w:szCs w:val="22"/>
        </w:rPr>
        <w:t>, Inspecteur Santé Sécurité et Travail</w:t>
      </w:r>
      <w:r w:rsidR="009A54E6">
        <w:rPr>
          <w:rFonts w:ascii="Arial" w:hAnsi="Arial" w:cs="Arial"/>
          <w:color w:val="000000"/>
          <w:sz w:val="22"/>
          <w:szCs w:val="22"/>
        </w:rPr>
        <w:t xml:space="preserve"> (ISST)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2D5FD9">
        <w:rPr>
          <w:rFonts w:ascii="Arial" w:hAnsi="Arial" w:cs="Arial"/>
          <w:color w:val="000000"/>
          <w:sz w:val="22"/>
          <w:szCs w:val="22"/>
        </w:rPr>
        <w:t>Tous les points abordés dans cette réunion ont été adopté</w:t>
      </w:r>
      <w:r w:rsidR="00CA22A6">
        <w:rPr>
          <w:rFonts w:ascii="Arial" w:hAnsi="Arial" w:cs="Arial"/>
          <w:color w:val="000000"/>
          <w:sz w:val="22"/>
          <w:szCs w:val="22"/>
        </w:rPr>
        <w:t>s</w:t>
      </w:r>
      <w:r w:rsidR="002D5FD9">
        <w:rPr>
          <w:rFonts w:ascii="Arial" w:hAnsi="Arial" w:cs="Arial"/>
          <w:color w:val="000000"/>
          <w:sz w:val="22"/>
          <w:szCs w:val="22"/>
        </w:rPr>
        <w:t xml:space="preserve">, notamment celui sur la </w:t>
      </w:r>
      <w:r w:rsidR="00CA22A6">
        <w:rPr>
          <w:rFonts w:ascii="Arial" w:hAnsi="Arial" w:cs="Arial"/>
          <w:color w:val="000000"/>
          <w:sz w:val="22"/>
          <w:szCs w:val="22"/>
        </w:rPr>
        <w:t>présidence</w:t>
      </w:r>
      <w:r w:rsidR="002D5FD9">
        <w:rPr>
          <w:rFonts w:ascii="Arial" w:hAnsi="Arial" w:cs="Arial"/>
          <w:color w:val="000000"/>
          <w:sz w:val="22"/>
          <w:szCs w:val="22"/>
        </w:rPr>
        <w:t xml:space="preserve"> qui désormais sera assuré</w:t>
      </w:r>
      <w:r w:rsidR="00864FB2">
        <w:rPr>
          <w:rFonts w:ascii="Arial" w:hAnsi="Arial" w:cs="Arial"/>
          <w:color w:val="000000"/>
          <w:sz w:val="22"/>
          <w:szCs w:val="22"/>
        </w:rPr>
        <w:t>e</w:t>
      </w:r>
      <w:r w:rsidR="002D5FD9">
        <w:rPr>
          <w:rFonts w:ascii="Arial" w:hAnsi="Arial" w:cs="Arial"/>
          <w:color w:val="000000"/>
          <w:sz w:val="22"/>
          <w:szCs w:val="22"/>
        </w:rPr>
        <w:t xml:space="preserve"> par le DRIAAF-adjoint (et non plus le chef du SRFD). Cependant, faute de candidats suffisants, </w:t>
      </w:r>
      <w:r w:rsidR="00864FB2">
        <w:rPr>
          <w:rFonts w:ascii="Arial" w:hAnsi="Arial" w:cs="Arial"/>
          <w:color w:val="000000"/>
          <w:sz w:val="22"/>
          <w:szCs w:val="22"/>
        </w:rPr>
        <w:t>la cellule</w:t>
      </w:r>
      <w:r w:rsidR="002D5FD9">
        <w:rPr>
          <w:rFonts w:ascii="Arial" w:hAnsi="Arial" w:cs="Arial"/>
          <w:color w:val="000000"/>
          <w:sz w:val="22"/>
          <w:szCs w:val="22"/>
        </w:rPr>
        <w:t xml:space="preserve"> ne peut être réactivée</w:t>
      </w:r>
      <w:r w:rsidR="00864FB2">
        <w:rPr>
          <w:rFonts w:ascii="Arial" w:hAnsi="Arial" w:cs="Arial"/>
          <w:color w:val="000000"/>
          <w:sz w:val="22"/>
          <w:szCs w:val="22"/>
        </w:rPr>
        <w:t xml:space="preserve"> de suite</w:t>
      </w:r>
      <w:r w:rsidR="002D5FD9">
        <w:rPr>
          <w:rFonts w:ascii="Arial" w:hAnsi="Arial" w:cs="Arial"/>
          <w:color w:val="000000"/>
          <w:sz w:val="22"/>
          <w:szCs w:val="22"/>
        </w:rPr>
        <w:t xml:space="preserve">. Un nouvel appel à candidature sera fait avant le </w:t>
      </w:r>
      <w:r w:rsidR="00864FB2">
        <w:rPr>
          <w:rFonts w:ascii="Arial" w:hAnsi="Arial" w:cs="Arial"/>
          <w:color w:val="000000"/>
          <w:sz w:val="22"/>
          <w:szCs w:val="22"/>
        </w:rPr>
        <w:t xml:space="preserve">prochain </w:t>
      </w:r>
      <w:r w:rsidR="002D5FD9">
        <w:rPr>
          <w:rFonts w:ascii="Arial" w:hAnsi="Arial" w:cs="Arial"/>
          <w:color w:val="000000"/>
          <w:sz w:val="22"/>
          <w:szCs w:val="22"/>
        </w:rPr>
        <w:t>CHSCTREA</w:t>
      </w:r>
      <w:r w:rsidR="00864FB2">
        <w:rPr>
          <w:rFonts w:ascii="Arial" w:hAnsi="Arial" w:cs="Arial"/>
          <w:color w:val="000000"/>
          <w:sz w:val="22"/>
          <w:szCs w:val="22"/>
        </w:rPr>
        <w:t>, prévu</w:t>
      </w:r>
      <w:r w:rsidR="00CA22A6">
        <w:rPr>
          <w:rFonts w:ascii="Arial" w:hAnsi="Arial" w:cs="Arial"/>
          <w:color w:val="000000"/>
          <w:sz w:val="22"/>
          <w:szCs w:val="22"/>
        </w:rPr>
        <w:t xml:space="preserve"> fin septembre</w:t>
      </w:r>
      <w:r w:rsidR="002D5F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6137" w:rsidRDefault="00A06137" w:rsidP="00760259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2876B4" w:rsidRDefault="002876B4" w:rsidP="002876B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5.</w:t>
      </w:r>
      <w:r w:rsidR="00760259" w:rsidRPr="00760259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760259">
        <w:rPr>
          <w:rFonts w:ascii="Arial" w:hAnsi="Arial" w:cs="Arial"/>
          <w:b/>
          <w:color w:val="0033CC"/>
          <w:sz w:val="22"/>
          <w:szCs w:val="22"/>
        </w:rPr>
        <w:t>Plan Particulier de Mise en Sûreté (PPMS)</w:t>
      </w:r>
    </w:p>
    <w:p w:rsidR="00760259" w:rsidRDefault="00760259" w:rsidP="00760259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(cf : circulaire n° 2002-119 du 29 mai 2002 publié au </w:t>
      </w:r>
      <w:hyperlink r:id="rId11" w:tgtFrame="_blank" w:history="1">
        <w:r>
          <w:rPr>
            <w:rStyle w:val="Lienhypertexte"/>
            <w:rFonts w:ascii="Arial" w:hAnsi="Arial" w:cs="Arial"/>
            <w:i/>
            <w:iCs/>
            <w:sz w:val="22"/>
            <w:szCs w:val="22"/>
          </w:rPr>
          <w:t>BO EN Hors-Série n° 3</w:t>
        </w:r>
      </w:hyperlink>
      <w:r>
        <w:rPr>
          <w:rFonts w:ascii="Arial" w:hAnsi="Arial" w:cs="Arial"/>
          <w:i/>
          <w:iCs/>
          <w:sz w:val="22"/>
          <w:szCs w:val="22"/>
        </w:rPr>
        <w:t>)</w:t>
      </w:r>
    </w:p>
    <w:p w:rsidR="002D5FD9" w:rsidRDefault="002D5FD9" w:rsidP="00760259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2D5FD9" w:rsidRDefault="00796A4E" w:rsidP="002D5F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Conformément à ce qui avait été annoncé lors du dernier CHSCTREA </w:t>
      </w:r>
      <w:r w:rsidR="00CA22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et demandé par le SNETAP-FSU</w:t>
      </w:r>
      <w:r w:rsidR="00CA22A6">
        <w:rPr>
          <w:rFonts w:ascii="Arial" w:hAnsi="Arial" w:cs="Arial"/>
          <w:sz w:val="22"/>
          <w:szCs w:val="22"/>
        </w:rPr>
        <w:t xml:space="preserve">, une formation aux risques majeurs </w:t>
      </w:r>
      <w:r>
        <w:rPr>
          <w:rFonts w:ascii="Arial" w:hAnsi="Arial" w:cs="Arial"/>
          <w:sz w:val="22"/>
          <w:szCs w:val="22"/>
        </w:rPr>
        <w:t>a été réalisé</w:t>
      </w:r>
      <w:r w:rsidR="00864F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tout au long du mois de janvier, ainsi que des exercices de mise à l’</w:t>
      </w:r>
      <w:r w:rsidR="00CA22A6">
        <w:rPr>
          <w:rFonts w:ascii="Arial" w:hAnsi="Arial" w:cs="Arial"/>
          <w:sz w:val="22"/>
          <w:szCs w:val="22"/>
        </w:rPr>
        <w:t>abri</w:t>
      </w:r>
      <w:r>
        <w:rPr>
          <w:rFonts w:ascii="Arial" w:hAnsi="Arial" w:cs="Arial"/>
          <w:sz w:val="22"/>
          <w:szCs w:val="22"/>
        </w:rPr>
        <w:t xml:space="preserve"> dans les trois établissements franciliens - Le CEZ de Rambouillet </w:t>
      </w:r>
      <w:r w:rsidR="00CA22A6">
        <w:rPr>
          <w:rFonts w:ascii="Arial" w:hAnsi="Arial" w:cs="Arial"/>
          <w:sz w:val="22"/>
          <w:szCs w:val="22"/>
        </w:rPr>
        <w:t>également</w:t>
      </w:r>
      <w:r>
        <w:rPr>
          <w:rFonts w:ascii="Arial" w:hAnsi="Arial" w:cs="Arial"/>
          <w:sz w:val="22"/>
          <w:szCs w:val="22"/>
        </w:rPr>
        <w:t xml:space="preserve">. </w:t>
      </w:r>
      <w:r w:rsidR="00CA22A6">
        <w:rPr>
          <w:rFonts w:ascii="Arial" w:hAnsi="Arial" w:cs="Arial"/>
          <w:sz w:val="22"/>
          <w:szCs w:val="22"/>
        </w:rPr>
        <w:t>Cependant</w:t>
      </w:r>
      <w:r>
        <w:rPr>
          <w:rFonts w:ascii="Arial" w:hAnsi="Arial" w:cs="Arial"/>
          <w:sz w:val="22"/>
          <w:szCs w:val="22"/>
        </w:rPr>
        <w:t xml:space="preserve"> le système d’alerte </w:t>
      </w:r>
      <w:r w:rsidR="00867358">
        <w:rPr>
          <w:rFonts w:ascii="Arial" w:hAnsi="Arial" w:cs="Arial"/>
          <w:sz w:val="22"/>
          <w:szCs w:val="22"/>
        </w:rPr>
        <w:t xml:space="preserve">sonore </w:t>
      </w:r>
      <w:r>
        <w:rPr>
          <w:rFonts w:ascii="Arial" w:hAnsi="Arial" w:cs="Arial"/>
          <w:sz w:val="22"/>
          <w:szCs w:val="22"/>
        </w:rPr>
        <w:t xml:space="preserve">est </w:t>
      </w:r>
      <w:r w:rsidR="00CA22A6">
        <w:rPr>
          <w:rFonts w:ascii="Arial" w:hAnsi="Arial" w:cs="Arial"/>
          <w:sz w:val="22"/>
          <w:szCs w:val="22"/>
        </w:rPr>
        <w:t xml:space="preserve">à chaque fois constaté comme </w:t>
      </w:r>
      <w:r>
        <w:rPr>
          <w:rFonts w:ascii="Arial" w:hAnsi="Arial" w:cs="Arial"/>
          <w:sz w:val="22"/>
          <w:szCs w:val="22"/>
        </w:rPr>
        <w:t>défaillant.</w:t>
      </w:r>
    </w:p>
    <w:p w:rsidR="00796A4E" w:rsidRDefault="00CA22A6" w:rsidP="002D5F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Jean-C</w:t>
      </w:r>
      <w:r w:rsidR="00796A4E">
        <w:rPr>
          <w:rFonts w:ascii="Arial" w:hAnsi="Arial" w:cs="Arial"/>
          <w:sz w:val="22"/>
          <w:szCs w:val="22"/>
        </w:rPr>
        <w:t xml:space="preserve">harles Cothenet, chargé de ce dossier au SRFD, ajoute que lors de la réunion des </w:t>
      </w:r>
      <w:r w:rsidR="00796A4E">
        <w:rPr>
          <w:rFonts w:ascii="Arial" w:hAnsi="Arial" w:cs="Arial"/>
          <w:sz w:val="22"/>
          <w:szCs w:val="22"/>
        </w:rPr>
        <w:lastRenderedPageBreak/>
        <w:t xml:space="preserve">directeurs d’EPL, à ce sujet, la DGER a fait la demande de prendre en compte la menace « intrusion », ce qui implique à terme d’organiser des exercices de ce type pour prévenir ce risque. </w:t>
      </w:r>
    </w:p>
    <w:p w:rsidR="00CA22A6" w:rsidRDefault="00CA22A6" w:rsidP="002D5F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D5FD9" w:rsidRDefault="002D5FD9" w:rsidP="002D5F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D5FD9" w:rsidRDefault="002D5FD9" w:rsidP="002D5FD9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570865" cy="354330"/>
            <wp:effectExtent l="19050" t="0" r="635" b="0"/>
            <wp:wrapSquare wrapText="right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796A4E" w:rsidRDefault="00796A4E" w:rsidP="002D5FD9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Pour </w:t>
      </w:r>
      <w:r w:rsidR="00CA22A6">
        <w:rPr>
          <w:rFonts w:ascii="Arial" w:hAnsi="Arial" w:cs="Arial"/>
          <w:i/>
          <w:iCs/>
          <w:color w:val="FFFFFF"/>
          <w:sz w:val="22"/>
          <w:szCs w:val="22"/>
        </w:rPr>
        <w:t>le SNETAP-FSU, la sensibilisation aux risques majeurs  fut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plus une information qu’une formation des personnels</w:t>
      </w:r>
      <w:r w:rsidR="00CA22A6">
        <w:rPr>
          <w:rFonts w:ascii="Arial" w:hAnsi="Arial" w:cs="Arial"/>
          <w:i/>
          <w:iCs/>
          <w:color w:val="FFFFFF"/>
          <w:sz w:val="22"/>
          <w:szCs w:val="22"/>
        </w:rPr>
        <w:t xml:space="preserve"> au PPMS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. Il semble nécessaire d’organiser des exercices sans précipitation comme ce fut le cas dans </w:t>
      </w:r>
      <w:r w:rsidR="00867358">
        <w:rPr>
          <w:rFonts w:ascii="Arial" w:hAnsi="Arial" w:cs="Arial"/>
          <w:i/>
          <w:iCs/>
          <w:color w:val="FFFFFF"/>
          <w:sz w:val="22"/>
          <w:szCs w:val="22"/>
        </w:rPr>
        <w:t>un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EPL. Des agents bien formés et conscients des risques, seront </w:t>
      </w:r>
      <w:r w:rsidR="0045060A">
        <w:rPr>
          <w:rFonts w:ascii="Arial" w:hAnsi="Arial" w:cs="Arial"/>
          <w:i/>
          <w:iCs/>
          <w:color w:val="FFFFFF"/>
          <w:sz w:val="22"/>
          <w:szCs w:val="22"/>
        </w:rPr>
        <w:t xml:space="preserve">davantage capables de faire face </w:t>
      </w:r>
      <w:r>
        <w:rPr>
          <w:rFonts w:ascii="Arial" w:hAnsi="Arial" w:cs="Arial"/>
          <w:i/>
          <w:iCs/>
          <w:color w:val="FFFFFF"/>
          <w:sz w:val="22"/>
          <w:szCs w:val="22"/>
        </w:rPr>
        <w:t>au danger</w:t>
      </w:r>
      <w:r w:rsidR="0045060A">
        <w:rPr>
          <w:rFonts w:ascii="Arial" w:hAnsi="Arial" w:cs="Arial"/>
          <w:i/>
          <w:iCs/>
          <w:color w:val="FFFFFF"/>
          <w:sz w:val="22"/>
          <w:szCs w:val="22"/>
        </w:rPr>
        <w:t>.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</w:t>
      </w:r>
    </w:p>
    <w:p w:rsidR="002876B4" w:rsidRPr="0045060A" w:rsidRDefault="002D5FD9" w:rsidP="002876B4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En outre, le SNETAP-FSU demande que soit communiqué rapidement au CHSCTREA, un</w:t>
      </w:r>
    </w:p>
    <w:p w:rsidR="002876B4" w:rsidRDefault="002876B4" w:rsidP="002876B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5060A" w:rsidRDefault="002876B4" w:rsidP="002876B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6.</w:t>
      </w:r>
      <w:r w:rsidR="0045060A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45060A" w:rsidRPr="0045060A">
        <w:rPr>
          <w:rFonts w:ascii="Arial" w:hAnsi="Arial" w:cs="Arial"/>
          <w:b/>
          <w:color w:val="0033CC"/>
          <w:sz w:val="22"/>
          <w:szCs w:val="22"/>
        </w:rPr>
        <w:t>Evolution réglementaire des travaux interdits aux jeunes</w:t>
      </w:r>
    </w:p>
    <w:p w:rsidR="0045060A" w:rsidRDefault="0045060A" w:rsidP="002876B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45060A" w:rsidRDefault="0045060A" w:rsidP="0045060A">
      <w:pPr>
        <w:pStyle w:val="WW-Standard"/>
        <w:jc w:val="both"/>
      </w:pPr>
      <w:r>
        <w:rPr>
          <w:rFonts w:ascii="Arial" w:hAnsi="Arial" w:cs="Arial"/>
          <w:sz w:val="22"/>
          <w:szCs w:val="22"/>
        </w:rPr>
        <w:t>(Cf : Décret 2015-1583 du 3 décembre 2015 r</w:t>
      </w:r>
      <w:r>
        <w:rPr>
          <w:rStyle w:val="StrongEmphasis"/>
          <w:rFonts w:ascii="Arial" w:hAnsi="Arial" w:cs="Arial"/>
          <w:b w:val="0"/>
          <w:sz w:val="22"/>
          <w:szCs w:val="22"/>
        </w:rPr>
        <w:t xml:space="preserve">elatif à la procédure de dérogation permettant aux jeunes âgés d'au moins quinze ans et de moins de dix-huit ans en situation de formation professionnelle dans la fonction publique de l'Etat d'effectuer des travaux dits </w:t>
      </w:r>
      <w:r w:rsidRPr="0045060A">
        <w:rPr>
          <w:rStyle w:val="StrongEmphasis"/>
          <w:rFonts w:ascii="Arial" w:hAnsi="Arial" w:cs="Arial"/>
          <w:b w:val="0"/>
          <w:i/>
          <w:sz w:val="22"/>
          <w:szCs w:val="22"/>
        </w:rPr>
        <w:t>réglementés</w:t>
      </w:r>
      <w:r>
        <w:rPr>
          <w:rStyle w:val="StrongEmphasis"/>
          <w:rFonts w:ascii="Arial" w:hAnsi="Arial" w:cs="Arial"/>
          <w:b w:val="0"/>
          <w:i/>
          <w:sz w:val="22"/>
          <w:szCs w:val="22"/>
        </w:rPr>
        <w:t>.</w:t>
      </w:r>
      <w:r>
        <w:rPr>
          <w:rStyle w:val="StrongEmphasis"/>
          <w:rFonts w:ascii="Arial" w:hAnsi="Arial" w:cs="Arial"/>
          <w:b w:val="0"/>
          <w:sz w:val="22"/>
          <w:szCs w:val="22"/>
        </w:rPr>
        <w:t>)</w:t>
      </w:r>
    </w:p>
    <w:p w:rsidR="0045060A" w:rsidRPr="0045060A" w:rsidRDefault="0045060A" w:rsidP="002876B4">
      <w:pPr>
        <w:pStyle w:val="Standard"/>
        <w:rPr>
          <w:rFonts w:ascii="Arial" w:hAnsi="Arial" w:cs="Arial"/>
          <w:b/>
          <w:bCs/>
          <w:color w:val="0033CC"/>
          <w:sz w:val="22"/>
          <w:szCs w:val="22"/>
        </w:rPr>
      </w:pPr>
    </w:p>
    <w:p w:rsidR="0045060A" w:rsidRDefault="0045060A" w:rsidP="0045060A">
      <w:pPr>
        <w:pStyle w:val="WW-Standard"/>
        <w:jc w:val="both"/>
      </w:pPr>
      <w:r>
        <w:rPr>
          <w:rFonts w:ascii="Arial" w:hAnsi="Arial" w:cs="Arial"/>
          <w:sz w:val="22"/>
          <w:szCs w:val="22"/>
        </w:rPr>
        <w:t>Monsieur Clavel explicite les modifications concernant les travaux interdits aux jeunes. Il explique que déso</w:t>
      </w:r>
      <w:r w:rsidR="00867358">
        <w:rPr>
          <w:rFonts w:ascii="Arial" w:hAnsi="Arial" w:cs="Arial"/>
          <w:sz w:val="22"/>
          <w:szCs w:val="22"/>
        </w:rPr>
        <w:t>rmais il sera possible dans la fonction publique</w:t>
      </w:r>
      <w:r>
        <w:rPr>
          <w:rFonts w:ascii="Arial" w:hAnsi="Arial" w:cs="Arial"/>
          <w:sz w:val="22"/>
          <w:szCs w:val="22"/>
        </w:rPr>
        <w:t xml:space="preserve"> d’État de déroger, pour les jeunes de 15 à18 ans, à certains travaux qui étaient jusqu'à maintenant interdits (conduite d'engins, manipulation de produits chimiques, travaux temporaires en hauteur, manipulation d'animaux dangereux etc.).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y a 5 conditions pour obtenir une dérogation </w:t>
      </w:r>
      <w:r w:rsidR="00867358">
        <w:rPr>
          <w:rFonts w:ascii="Arial" w:hAnsi="Arial" w:cs="Arial"/>
          <w:sz w:val="22"/>
          <w:szCs w:val="22"/>
        </w:rPr>
        <w:t xml:space="preserve">pour accueillir un apprenant </w:t>
      </w:r>
      <w:r>
        <w:rPr>
          <w:rFonts w:ascii="Arial" w:hAnsi="Arial" w:cs="Arial"/>
          <w:sz w:val="22"/>
          <w:szCs w:val="22"/>
        </w:rPr>
        <w:t>: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Évaluation des risques (donc présence d’un document unique)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Actions de prévention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Avoir informé le jeune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Encadrement assuré au jeune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Délivrance d’un avis médical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45060A" w:rsidRDefault="00867358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un</w:t>
      </w:r>
      <w:r w:rsidR="0045060A">
        <w:rPr>
          <w:rFonts w:ascii="Arial" w:hAnsi="Arial" w:cs="Arial"/>
          <w:sz w:val="22"/>
          <w:szCs w:val="22"/>
        </w:rPr>
        <w:t xml:space="preserve"> second temps, une déclaration du chef de service, réalisée avec l’assistant de prévention, doit être transmise à l’ISST compétent et </w:t>
      </w:r>
      <w:r>
        <w:rPr>
          <w:rFonts w:ascii="Arial" w:hAnsi="Arial" w:cs="Arial"/>
          <w:sz w:val="22"/>
          <w:szCs w:val="22"/>
        </w:rPr>
        <w:t>au</w:t>
      </w:r>
      <w:r w:rsidR="0045060A">
        <w:rPr>
          <w:rFonts w:ascii="Arial" w:hAnsi="Arial" w:cs="Arial"/>
          <w:sz w:val="22"/>
          <w:szCs w:val="22"/>
        </w:rPr>
        <w:t xml:space="preserve"> CHSCT/CoHS concerné. Cette déclaration a une durée de 3 ans.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L’ISST précise que ces démarches sont à réaliser uniquement quand l’apprenti effectue un </w:t>
      </w:r>
      <w:r w:rsidR="00867358">
        <w:rPr>
          <w:rFonts w:ascii="Arial" w:hAnsi="Arial" w:cs="Arial"/>
          <w:sz w:val="22"/>
          <w:szCs w:val="22"/>
        </w:rPr>
        <w:t>contrat</w:t>
      </w:r>
      <w:r>
        <w:rPr>
          <w:rFonts w:ascii="Arial" w:hAnsi="Arial" w:cs="Arial"/>
          <w:sz w:val="22"/>
          <w:szCs w:val="22"/>
        </w:rPr>
        <w:t xml:space="preserve"> sur le site d’un EPL, par exemple.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45060A" w:rsidRPr="00CA22A6" w:rsidRDefault="0045060A" w:rsidP="0045060A">
      <w:pPr>
        <w:pStyle w:val="WW-Standard"/>
        <w:jc w:val="both"/>
        <w:rPr>
          <w:rFonts w:ascii="Arial" w:hAnsi="Arial" w:cs="Arial"/>
          <w:b/>
          <w:color w:val="0033CC"/>
          <w:sz w:val="22"/>
          <w:szCs w:val="22"/>
        </w:rPr>
      </w:pPr>
      <w:r w:rsidRPr="00CA22A6">
        <w:rPr>
          <w:rFonts w:ascii="Arial" w:hAnsi="Arial" w:cs="Arial"/>
          <w:b/>
          <w:color w:val="0033CC"/>
          <w:sz w:val="22"/>
          <w:szCs w:val="22"/>
        </w:rPr>
        <w:t>7. Questions diverses</w:t>
      </w:r>
    </w:p>
    <w:p w:rsidR="0045060A" w:rsidRDefault="0045060A" w:rsidP="0045060A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45060A" w:rsidRDefault="0045060A" w:rsidP="0045060A">
      <w:pPr>
        <w:pStyle w:val="WW-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SNETAP-FSU souhaite lancer un groupe de travail pour faire face aux situations </w:t>
      </w:r>
      <w:r w:rsidR="005D1180">
        <w:rPr>
          <w:rFonts w:ascii="Arial" w:hAnsi="Arial" w:cs="Arial"/>
          <w:sz w:val="22"/>
          <w:szCs w:val="22"/>
        </w:rPr>
        <w:t>exceptionnelles</w:t>
      </w:r>
      <w:r>
        <w:rPr>
          <w:rFonts w:ascii="Arial" w:hAnsi="Arial" w:cs="Arial"/>
          <w:sz w:val="22"/>
          <w:szCs w:val="22"/>
        </w:rPr>
        <w:t xml:space="preserve"> (attentats, suicide d’un agent). Ce sera</w:t>
      </w:r>
      <w:r w:rsidR="005D1180">
        <w:rPr>
          <w:rFonts w:ascii="Arial" w:hAnsi="Arial" w:cs="Arial"/>
          <w:sz w:val="22"/>
          <w:szCs w:val="22"/>
        </w:rPr>
        <w:t xml:space="preserve"> fait juste avant l’été</w:t>
      </w:r>
      <w:r w:rsidR="00CA22A6">
        <w:rPr>
          <w:rFonts w:ascii="Arial" w:hAnsi="Arial" w:cs="Arial"/>
          <w:sz w:val="22"/>
          <w:szCs w:val="22"/>
        </w:rPr>
        <w:t>,</w:t>
      </w:r>
      <w:r w:rsidR="005D1180">
        <w:rPr>
          <w:rFonts w:ascii="Arial" w:hAnsi="Arial" w:cs="Arial"/>
          <w:sz w:val="22"/>
          <w:szCs w:val="22"/>
        </w:rPr>
        <w:t xml:space="preserve"> selon le SRFD.</w:t>
      </w:r>
    </w:p>
    <w:p w:rsidR="005D1180" w:rsidRDefault="005D1180" w:rsidP="0045060A">
      <w:pPr>
        <w:pStyle w:val="WW-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groupe de travail </w:t>
      </w:r>
      <w:r w:rsidR="00867358">
        <w:rPr>
          <w:rFonts w:ascii="Arial" w:hAnsi="Arial" w:cs="Arial"/>
          <w:sz w:val="22"/>
          <w:szCs w:val="22"/>
        </w:rPr>
        <w:t xml:space="preserve">demandé par le SNETAP-FSU </w:t>
      </w:r>
      <w:r>
        <w:rPr>
          <w:rFonts w:ascii="Arial" w:hAnsi="Arial" w:cs="Arial"/>
          <w:sz w:val="22"/>
          <w:szCs w:val="22"/>
        </w:rPr>
        <w:t>sur le</w:t>
      </w:r>
      <w:r w:rsidR="00867358">
        <w:rPr>
          <w:rFonts w:ascii="Arial" w:hAnsi="Arial" w:cs="Arial"/>
          <w:sz w:val="22"/>
          <w:szCs w:val="22"/>
        </w:rPr>
        <w:t>s addictions ne doit pas oublié</w:t>
      </w:r>
      <w:r>
        <w:rPr>
          <w:rFonts w:ascii="Arial" w:hAnsi="Arial" w:cs="Arial"/>
          <w:sz w:val="22"/>
          <w:szCs w:val="22"/>
        </w:rPr>
        <w:t xml:space="preserve"> mais il est nécessaire de repenser l’axe de réflexion.</w:t>
      </w:r>
    </w:p>
    <w:p w:rsidR="00867358" w:rsidRDefault="00867358" w:rsidP="0045060A">
      <w:pPr>
        <w:pStyle w:val="WW-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réunion plénière de CHSCTREA « délocalisée» dans un EPL, est prévue à l’automne 2016 à la demande du SNETAP-FSU. </w:t>
      </w:r>
    </w:p>
    <w:p w:rsidR="005D1180" w:rsidRDefault="005D1180" w:rsidP="005D1180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45060A" w:rsidRDefault="0045060A" w:rsidP="002876B4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5060A" w:rsidRDefault="0045060A" w:rsidP="002876B4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2876B4" w:rsidRDefault="002876B4" w:rsidP="002876B4">
      <w:pPr>
        <w:pStyle w:val="Standard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</w:p>
    <w:p w:rsidR="006047E9" w:rsidRDefault="002876B4" w:rsidP="002876B4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Tony Dos Santos,</w:t>
      </w:r>
    </w:p>
    <w:p w:rsidR="006047E9" w:rsidRDefault="006047E9" w:rsidP="002876B4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Secrétaire du CHSCTREA Ile de France</w:t>
      </w:r>
    </w:p>
    <w:p w:rsidR="002876B4" w:rsidRDefault="006047E9" w:rsidP="002876B4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le 29 mars 2016</w:t>
      </w:r>
    </w:p>
    <w:p w:rsidR="00E73635" w:rsidRDefault="00E73635"/>
    <w:sectPr w:rsidR="00E73635" w:rsidSect="00E736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76" w:rsidRDefault="00D33376" w:rsidP="005D1180">
      <w:pPr>
        <w:spacing w:after="0" w:line="240" w:lineRule="auto"/>
      </w:pPr>
      <w:r>
        <w:separator/>
      </w:r>
    </w:p>
  </w:endnote>
  <w:endnote w:type="continuationSeparator" w:id="0">
    <w:p w:rsidR="00D33376" w:rsidRDefault="00D33376" w:rsidP="005D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ËÎÌå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Serif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7742"/>
      <w:docPartObj>
        <w:docPartGallery w:val="Page Numbers (Bottom of Page)"/>
        <w:docPartUnique/>
      </w:docPartObj>
    </w:sdtPr>
    <w:sdtContent>
      <w:p w:rsidR="005D1180" w:rsidRDefault="008E1DC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5D1180" w:rsidRDefault="008E1DC5">
                    <w:pPr>
                      <w:jc w:val="center"/>
                    </w:pPr>
                    <w:fldSimple w:instr=" PAGE    \* MERGEFORMAT ">
                      <w:r w:rsidR="009A54E6" w:rsidRPr="009A54E6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76" w:rsidRDefault="00D33376" w:rsidP="005D1180">
      <w:pPr>
        <w:spacing w:after="0" w:line="240" w:lineRule="auto"/>
      </w:pPr>
      <w:r>
        <w:separator/>
      </w:r>
    </w:p>
  </w:footnote>
  <w:footnote w:type="continuationSeparator" w:id="0">
    <w:p w:rsidR="00D33376" w:rsidRDefault="00D33376" w:rsidP="005D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7E6"/>
    <w:multiLevelType w:val="hybridMultilevel"/>
    <w:tmpl w:val="B2FAA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00172">
      <w:start w:val="13"/>
      <w:numFmt w:val="bullet"/>
      <w:lvlText w:val="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47AC0"/>
    <w:multiLevelType w:val="hybridMultilevel"/>
    <w:tmpl w:val="5D88A76C"/>
    <w:lvl w:ilvl="0" w:tplc="D9146446">
      <w:start w:val="7"/>
      <w:numFmt w:val="bullet"/>
      <w:lvlText w:val="-"/>
      <w:lvlJc w:val="left"/>
      <w:pPr>
        <w:ind w:left="720" w:hanging="360"/>
      </w:pPr>
      <w:rPr>
        <w:rFonts w:ascii="Arial" w:eastAsia="SimSun, ËÎÌå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876B4"/>
    <w:rsid w:val="00241CF4"/>
    <w:rsid w:val="002876B4"/>
    <w:rsid w:val="002D2918"/>
    <w:rsid w:val="002D5FD9"/>
    <w:rsid w:val="00380C7F"/>
    <w:rsid w:val="0045060A"/>
    <w:rsid w:val="00472C07"/>
    <w:rsid w:val="005D1180"/>
    <w:rsid w:val="006047E9"/>
    <w:rsid w:val="00615AEE"/>
    <w:rsid w:val="0063123A"/>
    <w:rsid w:val="006A2CE2"/>
    <w:rsid w:val="00716FD7"/>
    <w:rsid w:val="00730FB2"/>
    <w:rsid w:val="0075788D"/>
    <w:rsid w:val="00760259"/>
    <w:rsid w:val="00774FE4"/>
    <w:rsid w:val="00796A4E"/>
    <w:rsid w:val="00841014"/>
    <w:rsid w:val="00864FB2"/>
    <w:rsid w:val="00865860"/>
    <w:rsid w:val="00867358"/>
    <w:rsid w:val="008E1DC5"/>
    <w:rsid w:val="009425BF"/>
    <w:rsid w:val="009A54E6"/>
    <w:rsid w:val="00A06137"/>
    <w:rsid w:val="00AA2C4E"/>
    <w:rsid w:val="00CA22A6"/>
    <w:rsid w:val="00D33376"/>
    <w:rsid w:val="00D97EF5"/>
    <w:rsid w:val="00E73635"/>
    <w:rsid w:val="00ED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76B4"/>
    <w:rPr>
      <w:color w:val="0000FF"/>
      <w:u w:val="single"/>
    </w:rPr>
  </w:style>
  <w:style w:type="paragraph" w:customStyle="1" w:styleId="Standard">
    <w:name w:val="Standard"/>
    <w:rsid w:val="002876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2876B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6B4"/>
    <w:rPr>
      <w:rFonts w:ascii="Tahoma" w:hAnsi="Tahoma" w:cs="Tahoma"/>
      <w:sz w:val="16"/>
      <w:szCs w:val="16"/>
    </w:rPr>
  </w:style>
  <w:style w:type="paragraph" w:customStyle="1" w:styleId="WW-Standard">
    <w:name w:val="WW-Standard"/>
    <w:rsid w:val="004506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ËÎÌå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Policepardfaut"/>
    <w:rsid w:val="0045060A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1180"/>
  </w:style>
  <w:style w:type="paragraph" w:styleId="Pieddepage">
    <w:name w:val="footer"/>
    <w:basedOn w:val="Normal"/>
    <w:link w:val="PieddepageCar"/>
    <w:uiPriority w:val="99"/>
    <w:semiHidden/>
    <w:unhideWhenUsed/>
    <w:rsid w:val="005D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fo-rme.fr/files/BO_HS3_1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10</cp:revision>
  <dcterms:created xsi:type="dcterms:W3CDTF">2016-04-25T14:46:00Z</dcterms:created>
  <dcterms:modified xsi:type="dcterms:W3CDTF">2016-05-12T20:40:00Z</dcterms:modified>
</cp:coreProperties>
</file>